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8A2" w:rsidRPr="00CE26D6" w:rsidRDefault="00CE26D6" w:rsidP="00CE26D6">
      <w:pPr>
        <w:pStyle w:val="Eivli"/>
        <w:rPr>
          <w:b/>
        </w:rPr>
      </w:pPr>
      <w:r w:rsidRPr="00CE26D6">
        <w:rPr>
          <w:b/>
        </w:rPr>
        <w:t xml:space="preserve">Kymenlaakson järjestöjen neuvottelukunnan toimintasääntö </w:t>
      </w:r>
      <w:r w:rsidR="00B50094">
        <w:rPr>
          <w:b/>
        </w:rPr>
        <w:t>1.1.2022 lukien</w:t>
      </w:r>
    </w:p>
    <w:p w:rsidR="00CE26D6" w:rsidRPr="004012CE" w:rsidRDefault="00CE26D6" w:rsidP="00CE26D6">
      <w:pPr>
        <w:pStyle w:val="Eivli"/>
        <w:rPr>
          <w:b/>
        </w:rPr>
      </w:pPr>
    </w:p>
    <w:p w:rsidR="00CE26D6" w:rsidRDefault="00CE26D6" w:rsidP="00CE26D6">
      <w:pPr>
        <w:pStyle w:val="Eivli"/>
        <w:numPr>
          <w:ilvl w:val="0"/>
          <w:numId w:val="1"/>
        </w:numPr>
        <w:rPr>
          <w:b/>
        </w:rPr>
      </w:pPr>
      <w:r w:rsidRPr="004012CE">
        <w:rPr>
          <w:b/>
        </w:rPr>
        <w:t>Neuvottelukunnan toiminta-ajatus ja tehtävät</w:t>
      </w:r>
    </w:p>
    <w:p w:rsidR="002C5452" w:rsidRPr="004012CE" w:rsidRDefault="002C5452" w:rsidP="002C5452">
      <w:pPr>
        <w:pStyle w:val="Eivli"/>
        <w:ind w:left="720"/>
        <w:rPr>
          <w:b/>
        </w:rPr>
      </w:pPr>
    </w:p>
    <w:p w:rsidR="002C5452" w:rsidRDefault="002C5452" w:rsidP="002C5452">
      <w:pPr>
        <w:pStyle w:val="Eivli"/>
        <w:ind w:left="720"/>
      </w:pPr>
      <w:r w:rsidRPr="002C5452">
        <w:t xml:space="preserve">Neuvottelukunta tekee näkyväksi ja tunnetuksi maakunnan järjestötoimintaa ja vahvistaa järjestöjen roolia tulevan </w:t>
      </w:r>
      <w:r w:rsidRPr="002C5452">
        <w:rPr>
          <w:rFonts w:cstheme="minorHAnsi"/>
        </w:rPr>
        <w:t>hyvinvointialueen</w:t>
      </w:r>
      <w:r w:rsidRPr="002C5452">
        <w:t xml:space="preserve"> ja kuntien kehittämistyössä ja rakenteissa, edistää järjestöjen keskinäistä sekä järjestöjen ja julkisen sektorin välistä yhteistyötä ja parantaa kansalaisten osallistumismahdollisuuksia. </w:t>
      </w:r>
    </w:p>
    <w:p w:rsidR="002C5452" w:rsidRDefault="002C5452" w:rsidP="002C5452">
      <w:pPr>
        <w:pStyle w:val="Eivli"/>
      </w:pPr>
    </w:p>
    <w:p w:rsidR="002C5452" w:rsidRDefault="002C5452" w:rsidP="002C5452">
      <w:pPr>
        <w:pStyle w:val="Eivli"/>
        <w:ind w:firstLine="720"/>
      </w:pPr>
      <w:r>
        <w:t>Neuvottelukunnan tehtävät:</w:t>
      </w:r>
    </w:p>
    <w:p w:rsidR="002C5452" w:rsidRDefault="002C5452" w:rsidP="002C5452">
      <w:pPr>
        <w:pStyle w:val="Eivli"/>
        <w:ind w:firstLine="720"/>
      </w:pPr>
    </w:p>
    <w:p w:rsidR="002C5452" w:rsidRPr="002C5452" w:rsidRDefault="002C5452" w:rsidP="002C5452">
      <w:pPr>
        <w:pStyle w:val="Eivli"/>
        <w:numPr>
          <w:ilvl w:val="0"/>
          <w:numId w:val="10"/>
        </w:numPr>
        <w:rPr>
          <w:rFonts w:eastAsia="Times New Roman"/>
          <w:lang w:eastAsia="fi-FI"/>
        </w:rPr>
      </w:pPr>
      <w:r w:rsidRPr="002C5452">
        <w:rPr>
          <w:lang w:eastAsia="fi-FI"/>
        </w:rPr>
        <w:t>Toimii alueensa järjestöjen virallisena äänenä sekä ed</w:t>
      </w:r>
      <w:r w:rsidR="00790769">
        <w:rPr>
          <w:lang w:eastAsia="fi-FI"/>
        </w:rPr>
        <w:t xml:space="preserve">istää ja vahvistaa järjestöjen </w:t>
      </w:r>
      <w:r w:rsidRPr="002C5452">
        <w:rPr>
          <w:rFonts w:eastAsia="Calibri" w:cstheme="minorHAnsi"/>
          <w:color w:val="000000"/>
          <w:kern w:val="24"/>
          <w:lang w:eastAsia="fi-FI"/>
        </w:rPr>
        <w:t>toiminta</w:t>
      </w:r>
      <w:r w:rsidR="00CB79FB">
        <w:rPr>
          <w:rFonts w:eastAsia="Calibri" w:cstheme="minorHAnsi"/>
          <w:color w:val="000000"/>
          <w:kern w:val="24"/>
          <w:lang w:eastAsia="fi-FI"/>
        </w:rPr>
        <w:t xml:space="preserve"> </w:t>
      </w:r>
      <w:r w:rsidRPr="002C5452">
        <w:rPr>
          <w:rFonts w:eastAsia="Calibri" w:cstheme="minorHAnsi"/>
          <w:color w:val="000000"/>
          <w:kern w:val="24"/>
          <w:lang w:eastAsia="fi-FI"/>
        </w:rPr>
        <w:t>edellytyksiä ja keskinäistä yhteistyötä järjestöverkoston kautta</w:t>
      </w:r>
    </w:p>
    <w:p w:rsidR="002C5452" w:rsidRPr="002C5452" w:rsidRDefault="002C5452" w:rsidP="002C5452">
      <w:pPr>
        <w:pStyle w:val="Eivli"/>
        <w:numPr>
          <w:ilvl w:val="0"/>
          <w:numId w:val="10"/>
        </w:numPr>
        <w:rPr>
          <w:rFonts w:eastAsia="Times New Roman"/>
          <w:lang w:eastAsia="fi-FI"/>
        </w:rPr>
      </w:pPr>
      <w:r w:rsidRPr="002C5452">
        <w:rPr>
          <w:lang w:eastAsia="fi-FI"/>
        </w:rPr>
        <w:t>Edistää kansalaisten, järjestöjen ja yhdistysten osallisuus- ja osallistumismahdollisuuksia</w:t>
      </w:r>
      <w:r>
        <w:rPr>
          <w:lang w:eastAsia="fi-FI"/>
        </w:rPr>
        <w:t xml:space="preserve"> </w:t>
      </w:r>
      <w:r w:rsidRPr="002C5452">
        <w:rPr>
          <w:rFonts w:eastAsia="Calibri" w:cstheme="minorHAnsi"/>
          <w:color w:val="000000"/>
          <w:kern w:val="24"/>
          <w:lang w:eastAsia="fi-FI"/>
        </w:rPr>
        <w:t>maakunnassa</w:t>
      </w:r>
    </w:p>
    <w:p w:rsidR="002C5452" w:rsidRPr="002C5452" w:rsidRDefault="002C5452" w:rsidP="002C5452">
      <w:pPr>
        <w:pStyle w:val="Eivli"/>
        <w:numPr>
          <w:ilvl w:val="0"/>
          <w:numId w:val="10"/>
        </w:numPr>
        <w:rPr>
          <w:rFonts w:eastAsia="Times New Roman"/>
          <w:lang w:eastAsia="fi-FI"/>
        </w:rPr>
      </w:pPr>
      <w:r w:rsidRPr="002C5452">
        <w:rPr>
          <w:lang w:eastAsia="fi-FI"/>
        </w:rPr>
        <w:t xml:space="preserve">Tukee järjestöjen integroitumista entistä tiiviimmin mukaan maakunnalliseen </w:t>
      </w:r>
    </w:p>
    <w:p w:rsidR="002C5452" w:rsidRPr="002C5452" w:rsidRDefault="002C5452" w:rsidP="002C5452">
      <w:pPr>
        <w:pStyle w:val="Eivli"/>
        <w:ind w:left="1080"/>
        <w:rPr>
          <w:rFonts w:eastAsia="Times New Roman"/>
          <w:lang w:eastAsia="fi-FI"/>
        </w:rPr>
      </w:pPr>
      <w:r w:rsidRPr="002C5452">
        <w:rPr>
          <w:rFonts w:eastAsia="Calibri" w:cstheme="minorHAnsi"/>
          <w:color w:val="000000"/>
          <w:kern w:val="24"/>
          <w:lang w:eastAsia="fi-FI"/>
        </w:rPr>
        <w:t>hyvinvointi-  ja –ohjelmatyöhön hyvinvoinnin ja terveyden edistämiseksi</w:t>
      </w:r>
    </w:p>
    <w:p w:rsidR="002C5452" w:rsidRPr="002C5452" w:rsidRDefault="002C5452" w:rsidP="002C5452">
      <w:pPr>
        <w:pStyle w:val="Eivli"/>
        <w:numPr>
          <w:ilvl w:val="0"/>
          <w:numId w:val="10"/>
        </w:numPr>
      </w:pPr>
      <w:r w:rsidRPr="002C5452">
        <w:rPr>
          <w:lang w:eastAsia="fi-FI"/>
        </w:rPr>
        <w:t>Neuvottelukunta v</w:t>
      </w:r>
      <w:r w:rsidR="00CB79FB">
        <w:rPr>
          <w:lang w:eastAsia="fi-FI"/>
        </w:rPr>
        <w:t xml:space="preserve">oi tehdä aloitteita sekä antaa </w:t>
      </w:r>
      <w:r w:rsidRPr="002C5452">
        <w:rPr>
          <w:lang w:eastAsia="fi-FI"/>
        </w:rPr>
        <w:t>lau</w:t>
      </w:r>
      <w:r>
        <w:rPr>
          <w:lang w:eastAsia="fi-FI"/>
        </w:rPr>
        <w:t>suntoja ja suosituksia järjestö</w:t>
      </w:r>
      <w:r w:rsidRPr="002C5452">
        <w:rPr>
          <w:rFonts w:eastAsia="Calibri" w:cstheme="minorHAnsi"/>
          <w:color w:val="000000"/>
          <w:kern w:val="24"/>
          <w:lang w:eastAsia="fi-FI"/>
        </w:rPr>
        <w:t xml:space="preserve"> yhteistyön kehittämiseksi</w:t>
      </w:r>
    </w:p>
    <w:p w:rsidR="002C5452" w:rsidRPr="002C5452" w:rsidRDefault="002C5452" w:rsidP="002C5452">
      <w:pPr>
        <w:pStyle w:val="Eivli"/>
        <w:numPr>
          <w:ilvl w:val="0"/>
          <w:numId w:val="10"/>
        </w:numPr>
        <w:rPr>
          <w:rFonts w:eastAsia="Times New Roman"/>
          <w:lang w:eastAsia="fi-FI"/>
        </w:rPr>
      </w:pPr>
      <w:r w:rsidRPr="002C5452">
        <w:rPr>
          <w:lang w:eastAsia="fi-FI"/>
        </w:rPr>
        <w:t xml:space="preserve">Edistää ja tukee järjestöjen ja julkisen sektorin eri toimijoiden sekä eri verkostojen </w:t>
      </w:r>
    </w:p>
    <w:p w:rsidR="002C5452" w:rsidRDefault="002C5452" w:rsidP="002C5452">
      <w:pPr>
        <w:pStyle w:val="Eivli"/>
        <w:ind w:firstLine="1080"/>
        <w:rPr>
          <w:lang w:eastAsia="fi-FI"/>
        </w:rPr>
      </w:pPr>
      <w:r>
        <w:rPr>
          <w:lang w:eastAsia="fi-FI"/>
        </w:rPr>
        <w:t xml:space="preserve"> keskinäistä yhteistyöt</w:t>
      </w:r>
      <w:r w:rsidR="00CB79FB">
        <w:rPr>
          <w:lang w:eastAsia="fi-FI"/>
        </w:rPr>
        <w:t>ä</w:t>
      </w:r>
    </w:p>
    <w:p w:rsidR="002C5452" w:rsidRPr="002C5452" w:rsidRDefault="00CB79FB" w:rsidP="00CB79FB">
      <w:pPr>
        <w:pStyle w:val="Eivli"/>
      </w:pPr>
      <w:r>
        <w:rPr>
          <w:rFonts w:eastAsia="+mn-ea" w:cstheme="minorHAnsi"/>
          <w:color w:val="000000"/>
          <w:kern w:val="24"/>
          <w:lang w:eastAsia="fi-FI"/>
        </w:rPr>
        <w:t xml:space="preserve">              6.    </w:t>
      </w:r>
      <w:r w:rsidR="002C5452" w:rsidRPr="002C5452">
        <w:rPr>
          <w:rFonts w:eastAsia="+mn-ea" w:cstheme="minorHAnsi"/>
          <w:color w:val="000000"/>
          <w:kern w:val="24"/>
          <w:lang w:eastAsia="fi-FI"/>
        </w:rPr>
        <w:t>Vastaa v</w:t>
      </w:r>
      <w:r>
        <w:rPr>
          <w:rFonts w:eastAsia="+mn-ea" w:cstheme="minorHAnsi"/>
          <w:color w:val="000000"/>
          <w:kern w:val="24"/>
          <w:lang w:eastAsia="fi-FI"/>
        </w:rPr>
        <w:t xml:space="preserve">iestinnästä ja tiedottamisesta </w:t>
      </w:r>
      <w:r w:rsidR="002C5452" w:rsidRPr="002C5452">
        <w:rPr>
          <w:rFonts w:eastAsia="+mn-ea" w:cstheme="minorHAnsi"/>
          <w:color w:val="000000"/>
          <w:kern w:val="24"/>
          <w:lang w:eastAsia="fi-FI"/>
        </w:rPr>
        <w:t>järjestöverkostoille ja muille toimijoille</w:t>
      </w:r>
    </w:p>
    <w:p w:rsidR="002C5452" w:rsidRPr="002C5452" w:rsidRDefault="00CB79FB" w:rsidP="00CB79FB">
      <w:pPr>
        <w:pStyle w:val="Eivli"/>
        <w:ind w:firstLine="720"/>
        <w:rPr>
          <w:rFonts w:eastAsia="Times New Roman"/>
          <w:lang w:eastAsia="fi-FI"/>
        </w:rPr>
      </w:pPr>
      <w:r>
        <w:rPr>
          <w:lang w:eastAsia="fi-FI"/>
        </w:rPr>
        <w:t xml:space="preserve">7.   </w:t>
      </w:r>
      <w:r w:rsidR="002C5452" w:rsidRPr="002C5452">
        <w:rPr>
          <w:lang w:eastAsia="fi-FI"/>
        </w:rPr>
        <w:t>Muut mahdolliset tehtävät</w:t>
      </w:r>
    </w:p>
    <w:p w:rsidR="00C51AA1" w:rsidRDefault="00C51AA1" w:rsidP="00C51AA1">
      <w:pPr>
        <w:pStyle w:val="Eivli"/>
      </w:pPr>
    </w:p>
    <w:p w:rsidR="00C51AA1" w:rsidRDefault="00C51AA1" w:rsidP="00CB79FB">
      <w:pPr>
        <w:pStyle w:val="Eivli"/>
        <w:numPr>
          <w:ilvl w:val="0"/>
          <w:numId w:val="1"/>
        </w:numPr>
        <w:rPr>
          <w:b/>
        </w:rPr>
      </w:pPr>
      <w:r w:rsidRPr="00C51AA1">
        <w:rPr>
          <w:b/>
        </w:rPr>
        <w:t>Edustajien määrä ja valinta</w:t>
      </w:r>
    </w:p>
    <w:p w:rsidR="00EF6392" w:rsidRDefault="00EF6392" w:rsidP="00EF6392">
      <w:pPr>
        <w:pStyle w:val="Eivli"/>
        <w:ind w:left="720"/>
        <w:rPr>
          <w:b/>
        </w:rPr>
      </w:pPr>
    </w:p>
    <w:p w:rsidR="00EF6392" w:rsidRDefault="00EF6392" w:rsidP="00EF6392">
      <w:pPr>
        <w:pStyle w:val="Eivli"/>
        <w:ind w:left="720"/>
      </w:pPr>
      <w:r w:rsidRPr="00CB79FB">
        <w:t xml:space="preserve">Kymenlaakson järjestöjen neuvottelukunnan toimikausi </w:t>
      </w:r>
      <w:r w:rsidR="0088434C" w:rsidRPr="00CB79FB">
        <w:t>on 4</w:t>
      </w:r>
      <w:r w:rsidRPr="00CB79FB">
        <w:t xml:space="preserve"> vuotta.</w:t>
      </w:r>
      <w:r w:rsidR="000A31DF">
        <w:t xml:space="preserve"> Neuvottelukunna</w:t>
      </w:r>
      <w:r w:rsidR="003D7B44">
        <w:t>n kaksi ensimmäistä toimintavuotta toteutetaan pilottina.</w:t>
      </w:r>
      <w:r w:rsidR="000A31DF">
        <w:t xml:space="preserve"> </w:t>
      </w:r>
    </w:p>
    <w:p w:rsidR="009B1858" w:rsidRDefault="009B1858" w:rsidP="000A12F6">
      <w:pPr>
        <w:pStyle w:val="Eivli"/>
        <w:rPr>
          <w:color w:val="FF0000"/>
        </w:rPr>
      </w:pPr>
    </w:p>
    <w:p w:rsidR="009B1858" w:rsidRPr="00504685" w:rsidRDefault="009B1858" w:rsidP="009B1858">
      <w:pPr>
        <w:pStyle w:val="Eivli"/>
        <w:ind w:left="720"/>
      </w:pPr>
      <w:r>
        <w:t xml:space="preserve">Järjestöjen neuvottelukunnassa on yhteensä </w:t>
      </w:r>
      <w:r w:rsidR="00CB79FB" w:rsidRPr="00CB79FB">
        <w:t>18 jäsentä, joista 11</w:t>
      </w:r>
      <w:r>
        <w:t xml:space="preserve"> jäsentä edustaa maakunnallista järjestöverkostoa ja </w:t>
      </w:r>
      <w:r w:rsidRPr="00CB79FB">
        <w:t>8 jäsentä edustaen</w:t>
      </w:r>
      <w:r>
        <w:t xml:space="preserve"> maakunnan kuntia ja kuntayhtymää (1.1.2023 hyvinvointialue). </w:t>
      </w:r>
    </w:p>
    <w:p w:rsidR="00C51AA1" w:rsidRDefault="00C51AA1" w:rsidP="009B1858">
      <w:pPr>
        <w:pStyle w:val="Eivli"/>
        <w:rPr>
          <w:b/>
        </w:rPr>
      </w:pPr>
    </w:p>
    <w:p w:rsidR="00C51AA1" w:rsidRDefault="00C51AA1" w:rsidP="00C51AA1">
      <w:pPr>
        <w:pStyle w:val="Eivli"/>
        <w:ind w:left="720"/>
      </w:pPr>
      <w:r>
        <w:t>Neu</w:t>
      </w:r>
      <w:r w:rsidR="00482E7A">
        <w:t>vottelukunnan jäseninä ovat</w:t>
      </w:r>
      <w:r>
        <w:t xml:space="preserve"> pilottikauden </w:t>
      </w:r>
      <w:r w:rsidR="00CB79FB">
        <w:t>2022 – 2023</w:t>
      </w:r>
      <w:r w:rsidR="009D389C">
        <w:t xml:space="preserve"> </w:t>
      </w:r>
      <w:r>
        <w:t xml:space="preserve">aikana Kymenlaakson järjestöverkoston nimeämät </w:t>
      </w:r>
      <w:r w:rsidRPr="00CB79FB">
        <w:t>edustajat (yhteens</w:t>
      </w:r>
      <w:r w:rsidR="00CB79FB" w:rsidRPr="00CB79FB">
        <w:t xml:space="preserve">ä </w:t>
      </w:r>
      <w:r w:rsidR="00CB79FB">
        <w:t>11 edustajaa</w:t>
      </w:r>
      <w:r>
        <w:t>) ja maakunnan kuntien</w:t>
      </w:r>
      <w:r w:rsidR="00356877">
        <w:t xml:space="preserve">, </w:t>
      </w:r>
      <w:r w:rsidR="00356877">
        <w:rPr>
          <w:color w:val="FF0000"/>
        </w:rPr>
        <w:t xml:space="preserve">Kymenlaakson liiton </w:t>
      </w:r>
      <w:r w:rsidR="000A31DF">
        <w:t>sekä kuntayht</w:t>
      </w:r>
      <w:r w:rsidR="00356877">
        <w:t>ymän nimeämät edustajat (</w:t>
      </w:r>
      <w:r w:rsidR="00356877" w:rsidRPr="00356877">
        <w:rPr>
          <w:color w:val="FF0000"/>
        </w:rPr>
        <w:t>9</w:t>
      </w:r>
      <w:r>
        <w:t xml:space="preserve"> edustajaa). </w:t>
      </w:r>
      <w:r w:rsidR="009B1858">
        <w:t xml:space="preserve">Järjestöverkoston edustajille </w:t>
      </w:r>
      <w:r w:rsidR="009B1858" w:rsidRPr="00CB79FB">
        <w:t>nimetään henkilökohtaiset varajäsenet järjestöverkostojen esitysten pohjalta toimikauden alkaessa 1.1.2022.</w:t>
      </w:r>
      <w:r w:rsidR="009B1858">
        <w:t xml:space="preserve"> </w:t>
      </w:r>
    </w:p>
    <w:p w:rsidR="009D389C" w:rsidRDefault="009D389C" w:rsidP="00C51AA1">
      <w:pPr>
        <w:pStyle w:val="Eivli"/>
        <w:ind w:left="720"/>
      </w:pPr>
    </w:p>
    <w:p w:rsidR="009D389C" w:rsidRPr="003174E9" w:rsidRDefault="009D389C" w:rsidP="009D389C">
      <w:pPr>
        <w:pStyle w:val="Eivli"/>
        <w:ind w:left="720"/>
        <w:rPr>
          <w:color w:val="FF0000"/>
        </w:rPr>
      </w:pPr>
      <w:r>
        <w:t>Kymenlaakson kunnat ja kuntayhtymä</w:t>
      </w:r>
      <w:r w:rsidR="00C631D3">
        <w:t xml:space="preserve"> (1.1.2023 hyvinvointialue) </w:t>
      </w:r>
      <w:r w:rsidR="008A54F9">
        <w:rPr>
          <w:color w:val="FF0000"/>
        </w:rPr>
        <w:t xml:space="preserve">sekä Kymenlaakson liitto </w:t>
      </w:r>
      <w:r>
        <w:t xml:space="preserve">kukin nimeävät </w:t>
      </w:r>
      <w:r w:rsidR="00695F59" w:rsidRPr="00C57E58">
        <w:t>viranhaltijaedustajat</w:t>
      </w:r>
      <w:r w:rsidR="00504685">
        <w:t xml:space="preserve"> (varsinainen ja varajäsen) </w:t>
      </w:r>
      <w:r>
        <w:t xml:space="preserve">Kymenlaakson järjestöjen neuvottelukuntaan. Kunta- ja kuntayhtymäedustajien </w:t>
      </w:r>
      <w:r w:rsidR="00695F59">
        <w:t xml:space="preserve">(hyvinvointialue) </w:t>
      </w:r>
      <w:r>
        <w:t xml:space="preserve">toimikausi on sama kuin neuvottelukunnan toimikausi. </w:t>
      </w:r>
    </w:p>
    <w:p w:rsidR="00504685" w:rsidRDefault="00504685" w:rsidP="009B1858">
      <w:pPr>
        <w:pStyle w:val="Eivli"/>
        <w:rPr>
          <w:color w:val="FF0000"/>
        </w:rPr>
      </w:pPr>
    </w:p>
    <w:p w:rsidR="00504685" w:rsidRPr="000A31DF" w:rsidRDefault="00504685" w:rsidP="000A31DF">
      <w:pPr>
        <w:pStyle w:val="Eivli"/>
        <w:ind w:left="720"/>
        <w:rPr>
          <w:color w:val="FF0000"/>
        </w:rPr>
      </w:pPr>
      <w:r>
        <w:t xml:space="preserve">Valittavilta jäseniltä edellytetään maakunnan järjestöverkoston asiantuntemusta sekä kykyä järjestökentän toimijuuden vahvistamiseen ja kehittämiseen ja laaja-alaiseen yhteistyöhön. </w:t>
      </w:r>
      <w:r w:rsidR="000A31DF" w:rsidRPr="00C57E58">
        <w:t>Neuvottelukunnan jäsenten n</w:t>
      </w:r>
      <w:r w:rsidR="00C57E58" w:rsidRPr="00C57E58">
        <w:t xml:space="preserve">imeämisessä huomioidaan </w:t>
      </w:r>
      <w:r w:rsidR="000A31DF" w:rsidRPr="00C57E58">
        <w:t>alueellinen tasapuolisuus</w:t>
      </w:r>
      <w:r w:rsidR="000A31DF">
        <w:rPr>
          <w:color w:val="FF0000"/>
        </w:rPr>
        <w:t xml:space="preserve">. </w:t>
      </w:r>
    </w:p>
    <w:p w:rsidR="0088434C" w:rsidRDefault="0088434C" w:rsidP="00504685">
      <w:pPr>
        <w:pStyle w:val="Eivli"/>
        <w:ind w:left="720"/>
      </w:pPr>
    </w:p>
    <w:p w:rsidR="0088434C" w:rsidRDefault="0088434C" w:rsidP="00504685">
      <w:pPr>
        <w:pStyle w:val="Eivli"/>
        <w:ind w:left="720"/>
      </w:pPr>
      <w:r w:rsidRPr="00C57E58">
        <w:t>Kymenlaakson järjestöverkostot esittävät kukin oman ehdokkaansa varsinaiseksi ja varajäseneksi</w:t>
      </w:r>
      <w:r w:rsidR="00C57E58" w:rsidRPr="00C57E58">
        <w:t xml:space="preserve"> toimikauden vaihtuessa. </w:t>
      </w:r>
      <w:r w:rsidRPr="00C57E58">
        <w:t xml:space="preserve"> Neuvottelukunta nimeää ehdokkaista</w:t>
      </w:r>
      <w:r w:rsidR="00482E7A" w:rsidRPr="00C57E58">
        <w:t xml:space="preserve"> neuvottelukunnan </w:t>
      </w:r>
      <w:r w:rsidRPr="00C57E58">
        <w:t xml:space="preserve">varsinaiset ja </w:t>
      </w:r>
      <w:r w:rsidR="00482E7A" w:rsidRPr="00C57E58">
        <w:t xml:space="preserve">henkilökohtaiset </w:t>
      </w:r>
      <w:r w:rsidRPr="00C57E58">
        <w:t xml:space="preserve">varajäsenet erovuoroisten tilalle. </w:t>
      </w:r>
      <w:r w:rsidR="000A31DF" w:rsidRPr="00C57E58">
        <w:t>Kunta- ja kuntayhtymäedustajat (hyvinvointialue) edustajat vahvistetaan ao. toimijoiden esitysten mukaan.</w:t>
      </w:r>
    </w:p>
    <w:p w:rsidR="00B80DAB" w:rsidRDefault="00B80DAB" w:rsidP="000A31DF">
      <w:pPr>
        <w:pStyle w:val="Eivli"/>
        <w:rPr>
          <w:color w:val="FF0000"/>
        </w:rPr>
      </w:pPr>
    </w:p>
    <w:p w:rsidR="00B80DAB" w:rsidRPr="00C57E58" w:rsidRDefault="00E25290" w:rsidP="00B80DAB">
      <w:pPr>
        <w:pStyle w:val="Eivli"/>
        <w:ind w:left="720"/>
      </w:pPr>
      <w:r w:rsidRPr="00C57E58">
        <w:lastRenderedPageBreak/>
        <w:t>Järjestöverkostot on jaettu seuraaviin aloihin, joista kutakin edustaa järjestöjen neuvottelukunnassa varsinainen jäsen ja varajäsen:</w:t>
      </w:r>
    </w:p>
    <w:p w:rsidR="00E25290" w:rsidRPr="00C57E58" w:rsidRDefault="00E25290" w:rsidP="00B80DAB">
      <w:pPr>
        <w:pStyle w:val="Eivli"/>
        <w:ind w:left="720"/>
      </w:pPr>
    </w:p>
    <w:p w:rsidR="00E25290" w:rsidRPr="00C57E58" w:rsidRDefault="00E25290" w:rsidP="00E25290">
      <w:pPr>
        <w:pStyle w:val="Eivli"/>
        <w:numPr>
          <w:ilvl w:val="0"/>
          <w:numId w:val="3"/>
        </w:numPr>
      </w:pPr>
      <w:r w:rsidRPr="00C57E58">
        <w:t>Potilas- ja vammajärjestöt</w:t>
      </w:r>
    </w:p>
    <w:p w:rsidR="00E25290" w:rsidRPr="00C57E58" w:rsidRDefault="00E25290" w:rsidP="00E25290">
      <w:pPr>
        <w:pStyle w:val="Eivli"/>
        <w:numPr>
          <w:ilvl w:val="0"/>
          <w:numId w:val="3"/>
        </w:numPr>
      </w:pPr>
      <w:r w:rsidRPr="00C57E58">
        <w:t>Päihde- ja mielenterveysjärjestöt</w:t>
      </w:r>
    </w:p>
    <w:p w:rsidR="00E25290" w:rsidRPr="00C57E58" w:rsidRDefault="00E25290" w:rsidP="00E25290">
      <w:pPr>
        <w:pStyle w:val="Eivli"/>
        <w:numPr>
          <w:ilvl w:val="0"/>
          <w:numId w:val="3"/>
        </w:numPr>
      </w:pPr>
      <w:r w:rsidRPr="00C57E58">
        <w:t>Maahanmuuttajajärjestöt</w:t>
      </w:r>
    </w:p>
    <w:p w:rsidR="00E25290" w:rsidRPr="00C57E58" w:rsidRDefault="00E25290" w:rsidP="00E25290">
      <w:pPr>
        <w:pStyle w:val="Eivli"/>
        <w:numPr>
          <w:ilvl w:val="0"/>
          <w:numId w:val="3"/>
        </w:numPr>
      </w:pPr>
      <w:r w:rsidRPr="00C57E58">
        <w:t>Työllisyysjärjestöt</w:t>
      </w:r>
    </w:p>
    <w:p w:rsidR="009F326B" w:rsidRPr="00C57E58" w:rsidRDefault="00A26267" w:rsidP="00E25290">
      <w:pPr>
        <w:pStyle w:val="Eivli"/>
        <w:numPr>
          <w:ilvl w:val="0"/>
          <w:numId w:val="3"/>
        </w:numPr>
      </w:pPr>
      <w:r>
        <w:rPr>
          <w:color w:val="FF0000"/>
        </w:rPr>
        <w:t>Ikääntyneiden järjestöverkosto</w:t>
      </w:r>
    </w:p>
    <w:p w:rsidR="009F326B" w:rsidRPr="00C57E58" w:rsidRDefault="009F326B" w:rsidP="00E25290">
      <w:pPr>
        <w:pStyle w:val="Eivli"/>
        <w:numPr>
          <w:ilvl w:val="0"/>
          <w:numId w:val="3"/>
        </w:numPr>
      </w:pPr>
      <w:r w:rsidRPr="00C57E58">
        <w:t>Kumppanuustalojen verkosto</w:t>
      </w:r>
      <w:r w:rsidR="00C944C8">
        <w:t xml:space="preserve"> </w:t>
      </w:r>
    </w:p>
    <w:p w:rsidR="009F326B" w:rsidRPr="00C57E58" w:rsidRDefault="009F326B" w:rsidP="00E25290">
      <w:pPr>
        <w:pStyle w:val="Eivli"/>
        <w:numPr>
          <w:ilvl w:val="0"/>
          <w:numId w:val="3"/>
        </w:numPr>
      </w:pPr>
      <w:r w:rsidRPr="00C57E58">
        <w:t>Valmius ja varautuminen</w:t>
      </w:r>
    </w:p>
    <w:p w:rsidR="009F326B" w:rsidRPr="00C57E58" w:rsidRDefault="009F326B" w:rsidP="00E25290">
      <w:pPr>
        <w:pStyle w:val="Eivli"/>
        <w:numPr>
          <w:ilvl w:val="0"/>
          <w:numId w:val="3"/>
        </w:numPr>
      </w:pPr>
      <w:r w:rsidRPr="00C57E58">
        <w:t>Liikuntajärjestöt</w:t>
      </w:r>
    </w:p>
    <w:p w:rsidR="009F326B" w:rsidRPr="00C57E58" w:rsidRDefault="009F326B" w:rsidP="00E25290">
      <w:pPr>
        <w:pStyle w:val="Eivli"/>
        <w:numPr>
          <w:ilvl w:val="0"/>
          <w:numId w:val="3"/>
        </w:numPr>
      </w:pPr>
      <w:r w:rsidRPr="00C57E58">
        <w:t>Lapsiperhejärjestöt</w:t>
      </w:r>
    </w:p>
    <w:p w:rsidR="009F326B" w:rsidRPr="00C57E58" w:rsidRDefault="009F326B" w:rsidP="00E25290">
      <w:pPr>
        <w:pStyle w:val="Eivli"/>
        <w:numPr>
          <w:ilvl w:val="0"/>
          <w:numId w:val="3"/>
        </w:numPr>
      </w:pPr>
      <w:r w:rsidRPr="00C57E58">
        <w:t>Kulttuurijärjestöt</w:t>
      </w:r>
    </w:p>
    <w:p w:rsidR="00504685" w:rsidRPr="00B50094" w:rsidRDefault="009F326B" w:rsidP="00CE26D6">
      <w:pPr>
        <w:pStyle w:val="Eivli"/>
        <w:numPr>
          <w:ilvl w:val="0"/>
          <w:numId w:val="3"/>
        </w:numPr>
      </w:pPr>
      <w:r w:rsidRPr="00C57E58">
        <w:t>Kymenlaakson kylät</w:t>
      </w:r>
    </w:p>
    <w:p w:rsidR="00C57E58" w:rsidRDefault="00C57E58" w:rsidP="00CE26D6">
      <w:pPr>
        <w:pStyle w:val="Eivli"/>
      </w:pPr>
    </w:p>
    <w:p w:rsidR="00CE26D6" w:rsidRPr="004012CE" w:rsidRDefault="00CE26D6" w:rsidP="00CB79FB">
      <w:pPr>
        <w:pStyle w:val="Eivli"/>
        <w:numPr>
          <w:ilvl w:val="0"/>
          <w:numId w:val="1"/>
        </w:numPr>
        <w:rPr>
          <w:b/>
        </w:rPr>
      </w:pPr>
      <w:r w:rsidRPr="004012CE">
        <w:rPr>
          <w:b/>
        </w:rPr>
        <w:t>Neuvottelukunnan toimikausi</w:t>
      </w:r>
      <w:r w:rsidR="00ED67BF">
        <w:rPr>
          <w:b/>
        </w:rPr>
        <w:t xml:space="preserve"> ja asettaminen</w:t>
      </w:r>
    </w:p>
    <w:p w:rsidR="00CE26D6" w:rsidRDefault="00CE26D6" w:rsidP="00CE26D6">
      <w:pPr>
        <w:pStyle w:val="Eivli"/>
      </w:pPr>
    </w:p>
    <w:p w:rsidR="00330B2E" w:rsidRDefault="00CE26D6" w:rsidP="00CE26D6">
      <w:pPr>
        <w:pStyle w:val="Eivli"/>
        <w:ind w:left="720"/>
        <w:rPr>
          <w:color w:val="FF0000"/>
        </w:rPr>
      </w:pPr>
      <w:r>
        <w:t>Kymenlaakson järjestöjen neuv</w:t>
      </w:r>
      <w:r w:rsidR="003174E9">
        <w:t xml:space="preserve">ottelukunnan toimikausi on neljä </w:t>
      </w:r>
      <w:r>
        <w:t xml:space="preserve">vuotta. </w:t>
      </w:r>
      <w:r w:rsidR="00170883">
        <w:t>Neuvottelukunnan e</w:t>
      </w:r>
      <w:r>
        <w:t>nsimmäinen toimikausi alkaa 1.1.2022 lukien</w:t>
      </w:r>
      <w:r w:rsidR="00C57E58">
        <w:t xml:space="preserve">. </w:t>
      </w:r>
      <w:r w:rsidR="00472104">
        <w:t xml:space="preserve">Kaksi ensimmäistä toimintavuotta </w:t>
      </w:r>
      <w:r w:rsidR="00170883">
        <w:t>toteuteta</w:t>
      </w:r>
      <w:r w:rsidR="002E3B00">
        <w:t>an pilottina vuosina 2022 – 2023</w:t>
      </w:r>
      <w:r w:rsidR="00170883">
        <w:t xml:space="preserve">. </w:t>
      </w:r>
    </w:p>
    <w:p w:rsidR="009F326B" w:rsidRDefault="009F326B" w:rsidP="00504685">
      <w:pPr>
        <w:pStyle w:val="Eivli"/>
      </w:pPr>
    </w:p>
    <w:p w:rsidR="00CE26D6" w:rsidRDefault="004012CE" w:rsidP="00CE6154">
      <w:pPr>
        <w:pStyle w:val="Eivli"/>
        <w:ind w:left="720"/>
      </w:pPr>
      <w:r>
        <w:t xml:space="preserve">Kymenlaakson </w:t>
      </w:r>
      <w:r w:rsidR="00170883">
        <w:t xml:space="preserve">maakunnan </w:t>
      </w:r>
      <w:r>
        <w:t>kumppanuustalot kukin vuorollaan vastaavat järjestöjen neuvottelukun</w:t>
      </w:r>
      <w:r w:rsidR="00504685">
        <w:t xml:space="preserve">nan </w:t>
      </w:r>
      <w:r w:rsidR="00504685" w:rsidRPr="00C57E58">
        <w:t>toiminnan toteuttamisesta, asioiden valmistelusta päätöksentekoon ja päätösten toimeenpanosta</w:t>
      </w:r>
      <w:r w:rsidRPr="00C57E58">
        <w:t>.</w:t>
      </w:r>
      <w:r>
        <w:t xml:space="preserve"> </w:t>
      </w:r>
    </w:p>
    <w:p w:rsidR="00170883" w:rsidRDefault="00170883" w:rsidP="00CE6154">
      <w:pPr>
        <w:pStyle w:val="Eivli"/>
        <w:ind w:left="720"/>
      </w:pPr>
    </w:p>
    <w:p w:rsidR="00170883" w:rsidRDefault="00170883" w:rsidP="00CE6154">
      <w:pPr>
        <w:pStyle w:val="Eivli"/>
        <w:ind w:left="720"/>
      </w:pPr>
      <w:r>
        <w:t xml:space="preserve">Kouvolan hyvinvointiyhdistykset ry vuosina 2022 – 2024, kumppanuustalo Viikari (Kotka) vuosina 2025 – 2027 ja Kumppanuustalo Hilma (Hamina) vuosina 2028 – 2030. </w:t>
      </w:r>
    </w:p>
    <w:p w:rsidR="00ED67BF" w:rsidRDefault="00ED67BF" w:rsidP="004012CE">
      <w:pPr>
        <w:pStyle w:val="Eivli"/>
      </w:pPr>
    </w:p>
    <w:p w:rsidR="00C51AA1" w:rsidRPr="00C57E58" w:rsidRDefault="00ED67BF" w:rsidP="00EC6F62">
      <w:pPr>
        <w:pStyle w:val="Eivli"/>
        <w:ind w:left="645"/>
      </w:pPr>
      <w:r w:rsidRPr="00C57E58">
        <w:t>Neuvottelukunnassa voi sama henkilö olla jäsenenä enin</w:t>
      </w:r>
      <w:r w:rsidR="00EC1E1D" w:rsidRPr="00C57E58">
        <w:t>tään kaksi toimikautta</w:t>
      </w:r>
      <w:r w:rsidRPr="00C57E58">
        <w:t>. Järjestöjen neuvottelukunnan ensimmäise</w:t>
      </w:r>
      <w:r w:rsidR="00EC6F62">
        <w:t>n toimikauden päättyessä vaihto</w:t>
      </w:r>
      <w:r w:rsidRPr="00C57E58">
        <w:t>vuorossa on puolet varsinais</w:t>
      </w:r>
      <w:r w:rsidR="00C51AA1" w:rsidRPr="00C57E58">
        <w:t>is</w:t>
      </w:r>
      <w:r w:rsidRPr="00C57E58">
        <w:t>ta jäsenistä</w:t>
      </w:r>
      <w:r w:rsidR="003174E9" w:rsidRPr="00C57E58">
        <w:t>. Ensimmäiset</w:t>
      </w:r>
      <w:r w:rsidR="00C51AA1" w:rsidRPr="00C57E58">
        <w:t xml:space="preserve"> erovuoro</w:t>
      </w:r>
      <w:r w:rsidR="003174E9" w:rsidRPr="00C57E58">
        <w:t>iset</w:t>
      </w:r>
      <w:r w:rsidR="00C51AA1" w:rsidRPr="00C57E58">
        <w:t xml:space="preserve"> va</w:t>
      </w:r>
      <w:r w:rsidR="003174E9" w:rsidRPr="00C57E58">
        <w:t xml:space="preserve">litaan arvalla. Tästä eteenpäin </w:t>
      </w:r>
      <w:r w:rsidR="00C51AA1" w:rsidRPr="00C57E58">
        <w:t xml:space="preserve">kahden vuoden välein vaihtovuorossa on pidempään toiminut puolikas. </w:t>
      </w:r>
    </w:p>
    <w:p w:rsidR="00C51AA1" w:rsidRPr="00C57E58" w:rsidRDefault="00C51AA1" w:rsidP="004012CE">
      <w:pPr>
        <w:pStyle w:val="Eivli"/>
      </w:pPr>
    </w:p>
    <w:p w:rsidR="00C51AA1" w:rsidRPr="00C57E58" w:rsidRDefault="00C51AA1" w:rsidP="004012CE">
      <w:pPr>
        <w:pStyle w:val="Eivli"/>
      </w:pPr>
      <w:r w:rsidRPr="00C57E58">
        <w:t xml:space="preserve">            Mikäli varsinainen jäsen luopuu tehtävästään kesken toimikauden, varajäsen nousee hänen</w:t>
      </w:r>
    </w:p>
    <w:p w:rsidR="00C51AA1" w:rsidRPr="00C57E58" w:rsidRDefault="00C51AA1" w:rsidP="004012CE">
      <w:pPr>
        <w:pStyle w:val="Eivli"/>
      </w:pPr>
      <w:r w:rsidRPr="00C57E58">
        <w:t xml:space="preserve">            paikalleen ja uusi </w:t>
      </w:r>
      <w:r w:rsidR="00EC1E1D" w:rsidRPr="00C57E58">
        <w:t>vara</w:t>
      </w:r>
      <w:r w:rsidRPr="00C57E58">
        <w:t xml:space="preserve">jäsen valitaan järjestöverkoston esityksestä tai kutsumenettelynä. </w:t>
      </w:r>
    </w:p>
    <w:p w:rsidR="009F326B" w:rsidRPr="00C57E58" w:rsidRDefault="009F326B" w:rsidP="004012CE">
      <w:pPr>
        <w:pStyle w:val="Eivli"/>
      </w:pPr>
    </w:p>
    <w:p w:rsidR="009F326B" w:rsidRPr="00C57E58" w:rsidRDefault="009F326B" w:rsidP="004012CE">
      <w:pPr>
        <w:pStyle w:val="Eivli"/>
      </w:pPr>
      <w:r w:rsidRPr="00C57E58">
        <w:t xml:space="preserve">            Kokoukseen voidaan kutsua asiantuntijoita kuultavaksi puheenjohtajan päätöksellä. </w:t>
      </w:r>
    </w:p>
    <w:p w:rsidR="004012CE" w:rsidRPr="00330B2E" w:rsidRDefault="004012CE" w:rsidP="004012CE">
      <w:pPr>
        <w:pStyle w:val="Eivli"/>
        <w:rPr>
          <w:b/>
        </w:rPr>
      </w:pPr>
    </w:p>
    <w:p w:rsidR="004012CE" w:rsidRDefault="00A55031" w:rsidP="00CB79FB">
      <w:pPr>
        <w:pStyle w:val="Eivli"/>
        <w:numPr>
          <w:ilvl w:val="0"/>
          <w:numId w:val="1"/>
        </w:numPr>
        <w:rPr>
          <w:b/>
        </w:rPr>
      </w:pPr>
      <w:r>
        <w:rPr>
          <w:b/>
        </w:rPr>
        <w:t xml:space="preserve">Neuvottelukunnan </w:t>
      </w:r>
      <w:r w:rsidR="000F5D97">
        <w:rPr>
          <w:b/>
        </w:rPr>
        <w:t>kokousten laillisuus ja päätösvaltaisuus</w:t>
      </w:r>
    </w:p>
    <w:p w:rsidR="00ED67BF" w:rsidRDefault="00ED67BF" w:rsidP="00723285">
      <w:pPr>
        <w:pStyle w:val="Eivli"/>
      </w:pPr>
    </w:p>
    <w:p w:rsidR="00ED67BF" w:rsidRDefault="00ED67BF" w:rsidP="00330B2E">
      <w:pPr>
        <w:pStyle w:val="Eivli"/>
        <w:ind w:left="720"/>
        <w:rPr>
          <w:color w:val="FF0000"/>
        </w:rPr>
      </w:pPr>
      <w:r w:rsidRPr="00C57E58">
        <w:t>Järjestöjen neuvottelukunta on päätösvaltainen, kun läsnä on puheenjohtajan ja</w:t>
      </w:r>
      <w:r w:rsidR="00EC1E1D" w:rsidRPr="00C57E58">
        <w:t>/tai</w:t>
      </w:r>
      <w:r w:rsidRPr="00C57E58">
        <w:t xml:space="preserve"> varapuheenjohtajan lisäksi vähintään puolet jäsenistä.</w:t>
      </w:r>
      <w:r>
        <w:t xml:space="preserve"> </w:t>
      </w:r>
    </w:p>
    <w:p w:rsidR="009F326B" w:rsidRDefault="009F326B" w:rsidP="009F326B">
      <w:pPr>
        <w:pStyle w:val="Eivli"/>
        <w:rPr>
          <w:color w:val="FF0000"/>
        </w:rPr>
      </w:pPr>
    </w:p>
    <w:p w:rsidR="00C57E58" w:rsidRPr="00B50094" w:rsidRDefault="009F326B" w:rsidP="00B50094">
      <w:pPr>
        <w:pStyle w:val="Eivli"/>
        <w:ind w:left="720"/>
      </w:pPr>
      <w:r w:rsidRPr="00C57E58">
        <w:t xml:space="preserve">Varsinaisen jäsenen ollessa estynyt osallistumaan kokoukseen, on hän velvollinen kutsumaan varajäsenensä kokoukseen. </w:t>
      </w:r>
    </w:p>
    <w:p w:rsidR="00C57E58" w:rsidRDefault="00C57E58" w:rsidP="009F326B">
      <w:pPr>
        <w:pStyle w:val="Eivli"/>
        <w:rPr>
          <w:color w:val="FF0000"/>
        </w:rPr>
      </w:pPr>
    </w:p>
    <w:p w:rsidR="009F326B" w:rsidRPr="00C57E58" w:rsidRDefault="007E1465" w:rsidP="00CB79FB">
      <w:pPr>
        <w:pStyle w:val="Eivli"/>
        <w:numPr>
          <w:ilvl w:val="0"/>
          <w:numId w:val="1"/>
        </w:numPr>
        <w:rPr>
          <w:b/>
        </w:rPr>
      </w:pPr>
      <w:r w:rsidRPr="00C57E58">
        <w:rPr>
          <w:b/>
        </w:rPr>
        <w:t>Kokousten määrä, paikka ja aika</w:t>
      </w:r>
    </w:p>
    <w:p w:rsidR="00170883" w:rsidRPr="00C57E58" w:rsidRDefault="00170883" w:rsidP="00330B2E">
      <w:pPr>
        <w:pStyle w:val="Eivli"/>
        <w:ind w:left="720"/>
      </w:pPr>
    </w:p>
    <w:p w:rsidR="00C57E58" w:rsidRPr="00C57E58" w:rsidRDefault="00170883" w:rsidP="00C57E58">
      <w:pPr>
        <w:pStyle w:val="Eivli"/>
        <w:ind w:left="720"/>
      </w:pPr>
      <w:r w:rsidRPr="00C57E58">
        <w:t>Kymenlaakson järjestöjen neuvottelukunta kokoontuu toimintavuoden aikana vähintään neljä kertaa (2 kokousta keväällä ja 2 kokousta syksyllä)</w:t>
      </w:r>
      <w:r w:rsidR="007E1465" w:rsidRPr="00C57E58">
        <w:t xml:space="preserve"> </w:t>
      </w:r>
      <w:r w:rsidR="00EC1E1D" w:rsidRPr="00C57E58">
        <w:t xml:space="preserve">tai </w:t>
      </w:r>
      <w:r w:rsidR="007E1465" w:rsidRPr="00C57E58">
        <w:t>tarpeen mukaan</w:t>
      </w:r>
      <w:r w:rsidRPr="00C57E58">
        <w:t xml:space="preserve">. </w:t>
      </w:r>
      <w:r w:rsidR="007E1465" w:rsidRPr="00C57E58">
        <w:t xml:space="preserve">Järjestöjen neuvottelukunta kokoontuu eri tiloissa maakunnan kuntien alueella. </w:t>
      </w:r>
      <w:r w:rsidR="00C57E58" w:rsidRPr="00C57E58">
        <w:t xml:space="preserve">Kokousten järjestämisessä huomioidaan osallistuminen etäyhteydellä. </w:t>
      </w:r>
    </w:p>
    <w:p w:rsidR="003174E9" w:rsidRDefault="003174E9" w:rsidP="007E1465">
      <w:pPr>
        <w:pStyle w:val="Eivli"/>
        <w:rPr>
          <w:color w:val="FF0000"/>
        </w:rPr>
      </w:pPr>
    </w:p>
    <w:p w:rsidR="007E1465" w:rsidRPr="00C57E58" w:rsidRDefault="007E1465" w:rsidP="00CB79FB">
      <w:pPr>
        <w:pStyle w:val="Eivli"/>
        <w:numPr>
          <w:ilvl w:val="0"/>
          <w:numId w:val="1"/>
        </w:numPr>
        <w:rPr>
          <w:b/>
        </w:rPr>
      </w:pPr>
      <w:r w:rsidRPr="00C57E58">
        <w:rPr>
          <w:b/>
        </w:rPr>
        <w:t>Kokouspalkkiot ja matkakorvaukset</w:t>
      </w:r>
    </w:p>
    <w:p w:rsidR="007E1465" w:rsidRPr="00C57E58" w:rsidRDefault="007E1465" w:rsidP="007E1465">
      <w:pPr>
        <w:pStyle w:val="Eivli"/>
        <w:ind w:left="720"/>
      </w:pPr>
    </w:p>
    <w:p w:rsidR="00EC1E1D" w:rsidRPr="00C57E58" w:rsidRDefault="007E1465" w:rsidP="00EC1E1D">
      <w:pPr>
        <w:pStyle w:val="Eivli"/>
        <w:ind w:left="720"/>
      </w:pPr>
      <w:r w:rsidRPr="00C57E58">
        <w:t xml:space="preserve">Järjestöjen neuvottelukunta ei maksa kokouspalkkioita tai matkakorvauksia. </w:t>
      </w:r>
    </w:p>
    <w:p w:rsidR="00EC1E1D" w:rsidRDefault="00EC1E1D" w:rsidP="00EC1E1D">
      <w:pPr>
        <w:pStyle w:val="Eivli"/>
        <w:rPr>
          <w:color w:val="FF0000"/>
        </w:rPr>
      </w:pPr>
    </w:p>
    <w:p w:rsidR="007E1465" w:rsidRPr="00C57E58" w:rsidRDefault="00A55031" w:rsidP="00CB79FB">
      <w:pPr>
        <w:pStyle w:val="Eivli"/>
        <w:numPr>
          <w:ilvl w:val="0"/>
          <w:numId w:val="1"/>
        </w:numPr>
        <w:rPr>
          <w:b/>
        </w:rPr>
      </w:pPr>
      <w:r w:rsidRPr="00C57E58">
        <w:rPr>
          <w:b/>
        </w:rPr>
        <w:t>Järjestäytyminen</w:t>
      </w:r>
    </w:p>
    <w:p w:rsidR="00A55031" w:rsidRPr="00C57E58" w:rsidRDefault="00A55031" w:rsidP="00A55031">
      <w:pPr>
        <w:pStyle w:val="Eivli"/>
        <w:ind w:left="720"/>
        <w:rPr>
          <w:b/>
        </w:rPr>
      </w:pPr>
    </w:p>
    <w:p w:rsidR="00A55031" w:rsidRDefault="00A55031" w:rsidP="00A55031">
      <w:pPr>
        <w:pStyle w:val="Eivli"/>
        <w:ind w:left="720"/>
      </w:pPr>
      <w:r w:rsidRPr="00C57E58">
        <w:t>Järjestöjen neuvottelukunta valitsee toimikautensa ensimmäisessä kokouksessa puheenjohtajan, vara</w:t>
      </w:r>
      <w:r w:rsidR="00345544">
        <w:t>puheenjohtajan,</w:t>
      </w:r>
      <w:r w:rsidRPr="00C57E58">
        <w:t xml:space="preserve"> sihteerin</w:t>
      </w:r>
      <w:r w:rsidR="00345544">
        <w:t xml:space="preserve"> ja </w:t>
      </w:r>
      <w:r w:rsidR="00345544" w:rsidRPr="00345544">
        <w:rPr>
          <w:color w:val="FF0000"/>
        </w:rPr>
        <w:t>viestintävastaavan</w:t>
      </w:r>
      <w:r w:rsidRPr="00C57E58">
        <w:t xml:space="preserve">. Em. toimijoiden toimikausi on sama kuin neuvottelukunnan. Sama henkilö voi toimia puheenjohtajana yhteensä enintään </w:t>
      </w:r>
      <w:r w:rsidR="00EF6392" w:rsidRPr="00C57E58">
        <w:t>kaksi toimikautta</w:t>
      </w:r>
      <w:r w:rsidRPr="00C57E58">
        <w:t xml:space="preserve">. </w:t>
      </w:r>
    </w:p>
    <w:p w:rsidR="00345544" w:rsidRDefault="00345544" w:rsidP="00A55031">
      <w:pPr>
        <w:pStyle w:val="Eivli"/>
        <w:ind w:left="720"/>
      </w:pPr>
    </w:p>
    <w:p w:rsidR="00345544" w:rsidRPr="00C944C8" w:rsidRDefault="00345544" w:rsidP="00A55031">
      <w:pPr>
        <w:pStyle w:val="Eivli"/>
        <w:ind w:left="720"/>
        <w:rPr>
          <w:b/>
          <w:color w:val="FF0000"/>
        </w:rPr>
      </w:pPr>
      <w:r w:rsidRPr="00C944C8">
        <w:rPr>
          <w:b/>
          <w:color w:val="FF0000"/>
        </w:rPr>
        <w:t>Pilottikauden aikana neuvottelukunnan puheenjohtaja</w:t>
      </w:r>
      <w:r w:rsidR="00D432C9">
        <w:rPr>
          <w:b/>
          <w:color w:val="FF0000"/>
        </w:rPr>
        <w:t xml:space="preserve"> nimetään ensimmäisen vuorossa olevan h</w:t>
      </w:r>
      <w:r w:rsidR="00C944C8" w:rsidRPr="00C944C8">
        <w:rPr>
          <w:b/>
          <w:color w:val="FF0000"/>
        </w:rPr>
        <w:t>allinnoijan taholta</w:t>
      </w:r>
      <w:r w:rsidR="00D432C9">
        <w:rPr>
          <w:b/>
          <w:color w:val="FF0000"/>
        </w:rPr>
        <w:t>. S</w:t>
      </w:r>
      <w:r w:rsidRPr="00C944C8">
        <w:rPr>
          <w:b/>
          <w:color w:val="FF0000"/>
        </w:rPr>
        <w:t>ihteeri</w:t>
      </w:r>
      <w:r w:rsidR="00C944C8" w:rsidRPr="00C944C8">
        <w:rPr>
          <w:b/>
          <w:color w:val="FF0000"/>
        </w:rPr>
        <w:t xml:space="preserve"> </w:t>
      </w:r>
      <w:r w:rsidR="00D432C9">
        <w:rPr>
          <w:b/>
          <w:color w:val="FF0000"/>
        </w:rPr>
        <w:t>nimetään seuraavana hallinnoinnista vastuussa olevan kumppanuustalon taholta. V</w:t>
      </w:r>
      <w:r w:rsidRPr="00C944C8">
        <w:rPr>
          <w:b/>
          <w:color w:val="FF0000"/>
        </w:rPr>
        <w:t xml:space="preserve">iestintävastaava </w:t>
      </w:r>
      <w:r w:rsidR="00D432C9">
        <w:rPr>
          <w:b/>
          <w:color w:val="FF0000"/>
        </w:rPr>
        <w:t xml:space="preserve">puolestaan </w:t>
      </w:r>
      <w:r w:rsidRPr="00C944C8">
        <w:rPr>
          <w:b/>
          <w:color w:val="FF0000"/>
        </w:rPr>
        <w:t xml:space="preserve">nimetään </w:t>
      </w:r>
      <w:r w:rsidR="00D432C9">
        <w:rPr>
          <w:b/>
          <w:color w:val="FF0000"/>
        </w:rPr>
        <w:t xml:space="preserve">kolmantena vuorossa olevan </w:t>
      </w:r>
      <w:r w:rsidRPr="00C944C8">
        <w:rPr>
          <w:b/>
          <w:color w:val="FF0000"/>
        </w:rPr>
        <w:t>toim</w:t>
      </w:r>
      <w:r w:rsidR="00D432C9">
        <w:rPr>
          <w:b/>
          <w:color w:val="FF0000"/>
        </w:rPr>
        <w:t xml:space="preserve">innasta </w:t>
      </w:r>
      <w:r w:rsidRPr="00C944C8">
        <w:rPr>
          <w:b/>
          <w:color w:val="FF0000"/>
        </w:rPr>
        <w:t>kumppanuustalon taholta. Neuvottelukunnan varapuheenjohtaja valitaan neuvottelukunnan järjestöjäsenten keskuudesta.</w:t>
      </w:r>
    </w:p>
    <w:p w:rsidR="00A55031" w:rsidRPr="00C57E58" w:rsidRDefault="00A55031" w:rsidP="00A55031">
      <w:pPr>
        <w:pStyle w:val="Eivli"/>
        <w:ind w:left="720"/>
      </w:pPr>
    </w:p>
    <w:p w:rsidR="00A55031" w:rsidRPr="00C57E58" w:rsidRDefault="00A55031" w:rsidP="00A55031">
      <w:pPr>
        <w:pStyle w:val="Eivli"/>
        <w:ind w:left="720"/>
      </w:pPr>
      <w:r w:rsidRPr="00C57E58">
        <w:t>Järjestöjen neuvottelukunta nimeää keskuudestaan työvaliokunnan</w:t>
      </w:r>
      <w:r w:rsidR="00EF6392" w:rsidRPr="00C57E58">
        <w:t xml:space="preserve"> toimikaudeksi</w:t>
      </w:r>
      <w:r w:rsidRPr="00C57E58">
        <w:t xml:space="preserve">. </w:t>
      </w:r>
      <w:r w:rsidR="00EF6392" w:rsidRPr="00C57E58">
        <w:t xml:space="preserve">Työvaliokunnan toimintaan osallistuvat puheenjohtaja, varapuheenjohtaja ja sihteeri. </w:t>
      </w:r>
      <w:r w:rsidRPr="00C57E58">
        <w:t>Työvaliokunnan kokouksiin voidaan kutsua myös muita henkilöitä</w:t>
      </w:r>
      <w:r w:rsidR="00EF6392" w:rsidRPr="00C57E58">
        <w:t xml:space="preserve"> siten, että </w:t>
      </w:r>
      <w:r w:rsidR="009B1858" w:rsidRPr="00C57E58">
        <w:t xml:space="preserve">asioiden </w:t>
      </w:r>
      <w:r w:rsidR="00EF6392" w:rsidRPr="00C57E58">
        <w:t>valmistelussa tulee huomioitua vahva substanssin tuntemus</w:t>
      </w:r>
      <w:r w:rsidRPr="00C57E58">
        <w:t>.</w:t>
      </w:r>
    </w:p>
    <w:p w:rsidR="00A55031" w:rsidRDefault="00A55031" w:rsidP="00A55031">
      <w:pPr>
        <w:pStyle w:val="Eivli"/>
      </w:pPr>
    </w:p>
    <w:p w:rsidR="00560AF6" w:rsidRPr="00B50094" w:rsidRDefault="00C57E58" w:rsidP="00A55031">
      <w:pPr>
        <w:pStyle w:val="Eivli"/>
        <w:ind w:firstLine="720"/>
      </w:pPr>
      <w:r w:rsidRPr="00B50094">
        <w:t>Työvaliokunnan tehtävät</w:t>
      </w:r>
      <w:r w:rsidR="00560AF6" w:rsidRPr="00B50094">
        <w:t>:</w:t>
      </w:r>
    </w:p>
    <w:p w:rsidR="00560AF6" w:rsidRPr="00B50094" w:rsidRDefault="00560AF6" w:rsidP="00560AF6">
      <w:pPr>
        <w:pStyle w:val="Eivli"/>
        <w:numPr>
          <w:ilvl w:val="0"/>
          <w:numId w:val="2"/>
        </w:numPr>
      </w:pPr>
      <w:r w:rsidRPr="00B50094">
        <w:t>valmistella neuvottelukunnan kokoukset</w:t>
      </w:r>
    </w:p>
    <w:p w:rsidR="00560AF6" w:rsidRPr="00B50094" w:rsidRDefault="00560AF6" w:rsidP="00560AF6">
      <w:pPr>
        <w:pStyle w:val="Eivli"/>
        <w:numPr>
          <w:ilvl w:val="0"/>
          <w:numId w:val="2"/>
        </w:numPr>
      </w:pPr>
      <w:r w:rsidRPr="00B50094">
        <w:t>valmistella toimintaa ohjaavat ja raportoitavat asiakirjat</w:t>
      </w:r>
    </w:p>
    <w:p w:rsidR="00560AF6" w:rsidRPr="00B50094" w:rsidRDefault="00560AF6" w:rsidP="00560AF6">
      <w:pPr>
        <w:pStyle w:val="Eivli"/>
        <w:numPr>
          <w:ilvl w:val="0"/>
          <w:numId w:val="2"/>
        </w:numPr>
      </w:pPr>
      <w:r w:rsidRPr="00B50094">
        <w:t>tehdä esitykset neuvottelukunnan lausunnoista ja kannanotoista kokouskäsittelyyn</w:t>
      </w:r>
    </w:p>
    <w:p w:rsidR="00560AF6" w:rsidRPr="00B50094" w:rsidRDefault="00560AF6" w:rsidP="00560AF6">
      <w:pPr>
        <w:pStyle w:val="Eivli"/>
        <w:numPr>
          <w:ilvl w:val="0"/>
          <w:numId w:val="2"/>
        </w:numPr>
      </w:pPr>
      <w:r w:rsidRPr="00B50094">
        <w:t>käynnistää ja toteuttaa seuraavaan toimikauteen liittyvä neuvottelukunnan jäsenten ehdollepano ja valintaprosessi</w:t>
      </w:r>
    </w:p>
    <w:p w:rsidR="00560AF6" w:rsidRPr="00B50094" w:rsidRDefault="00CE6154" w:rsidP="00560AF6">
      <w:pPr>
        <w:pStyle w:val="Eivli"/>
        <w:numPr>
          <w:ilvl w:val="0"/>
          <w:numId w:val="2"/>
        </w:numPr>
      </w:pPr>
      <w:r w:rsidRPr="00B50094">
        <w:t>toimia neuvottelukunnan kokousten välissä nopeaa reagointia vaativissa asioissa (esim. nimeämiset)</w:t>
      </w:r>
    </w:p>
    <w:p w:rsidR="004012CE" w:rsidRPr="00B50094" w:rsidRDefault="00CE6154" w:rsidP="0025044E">
      <w:pPr>
        <w:pStyle w:val="Eivli"/>
        <w:numPr>
          <w:ilvl w:val="0"/>
          <w:numId w:val="2"/>
        </w:numPr>
      </w:pPr>
      <w:r w:rsidRPr="00B50094">
        <w:t xml:space="preserve">huolehtia riittävästä viestinnästä neuvottelukunnan ja toimialueen </w:t>
      </w:r>
      <w:r w:rsidR="00B50094" w:rsidRPr="00B50094">
        <w:t>kaikkien järjestöjen kesken (</w:t>
      </w:r>
      <w:r w:rsidR="00687EFF" w:rsidRPr="00B50094">
        <w:t>v</w:t>
      </w:r>
      <w:r w:rsidR="00B50094" w:rsidRPr="00B50094">
        <w:t>iestintäsuunnitelman laadinta, viestintävastaavan roolin ja vastuun määrittäminen)</w:t>
      </w:r>
    </w:p>
    <w:p w:rsidR="00A55031" w:rsidRPr="00B50094" w:rsidRDefault="00A55031" w:rsidP="00A55031">
      <w:pPr>
        <w:pStyle w:val="Eivli"/>
        <w:ind w:left="720"/>
      </w:pPr>
    </w:p>
    <w:p w:rsidR="00A55031" w:rsidRPr="00B50094" w:rsidRDefault="00A55031" w:rsidP="00A55031">
      <w:pPr>
        <w:pStyle w:val="Eivli"/>
        <w:ind w:left="720"/>
      </w:pPr>
      <w:r w:rsidRPr="00B50094">
        <w:t xml:space="preserve">Järjestöjen neuvottelukunta voi nimetä eri aiheisiin liittyviä valmisteluryhmiä, jotka raportoivat toiminnastaan järjestöjen neuvottelukunnalle. </w:t>
      </w:r>
    </w:p>
    <w:p w:rsidR="00723285" w:rsidRDefault="00723285" w:rsidP="00723285">
      <w:pPr>
        <w:pStyle w:val="Eivli"/>
        <w:rPr>
          <w:color w:val="FF0000"/>
        </w:rPr>
      </w:pPr>
    </w:p>
    <w:p w:rsidR="00723285" w:rsidRPr="00B50094" w:rsidRDefault="00723285" w:rsidP="00CB79FB">
      <w:pPr>
        <w:pStyle w:val="Eivli"/>
        <w:numPr>
          <w:ilvl w:val="0"/>
          <w:numId w:val="1"/>
        </w:numPr>
        <w:rPr>
          <w:b/>
        </w:rPr>
      </w:pPr>
      <w:r w:rsidRPr="00B50094">
        <w:rPr>
          <w:b/>
        </w:rPr>
        <w:t>Kokousmenettely</w:t>
      </w:r>
    </w:p>
    <w:p w:rsidR="00723285" w:rsidRPr="00B50094" w:rsidRDefault="00723285" w:rsidP="00723285">
      <w:pPr>
        <w:pStyle w:val="Eivli"/>
        <w:ind w:left="720"/>
        <w:rPr>
          <w:b/>
        </w:rPr>
      </w:pPr>
    </w:p>
    <w:p w:rsidR="00723285" w:rsidRPr="00B50094" w:rsidRDefault="00723285" w:rsidP="00723285">
      <w:pPr>
        <w:pStyle w:val="Eivli"/>
        <w:ind w:left="720"/>
      </w:pPr>
      <w:r w:rsidRPr="00B50094">
        <w:t xml:space="preserve">Mikäli molemmat puheenjohtajat ovat estyneitä osallistumasta kokoukseen, valitaan kokouksen puheenjohtaja läsnä olevista jäsenistä. Läsnäolijat allekirjoittavat kiertävän osallistujalistan. </w:t>
      </w:r>
    </w:p>
    <w:p w:rsidR="004504E1" w:rsidRPr="00B50094" w:rsidRDefault="004504E1" w:rsidP="00723285">
      <w:pPr>
        <w:pStyle w:val="Eivli"/>
        <w:ind w:left="720"/>
      </w:pPr>
    </w:p>
    <w:p w:rsidR="004504E1" w:rsidRPr="00B50094" w:rsidRDefault="004504E1" w:rsidP="004504E1">
      <w:pPr>
        <w:pStyle w:val="Eivli"/>
        <w:ind w:left="720"/>
      </w:pPr>
      <w:r w:rsidRPr="00B50094">
        <w:t xml:space="preserve">Varsinaisen jäsenen ollessa estynyt osallistumaan kokoukseen, on hän velvollinen kutsumaan varajäsenensä kokoukseen. </w:t>
      </w:r>
    </w:p>
    <w:p w:rsidR="00EF6392" w:rsidRPr="00B50094" w:rsidRDefault="00EF6392" w:rsidP="004504E1">
      <w:pPr>
        <w:pStyle w:val="Eivli"/>
        <w:ind w:left="720"/>
      </w:pPr>
    </w:p>
    <w:p w:rsidR="00EF6392" w:rsidRPr="00B50094" w:rsidRDefault="00EF6392" w:rsidP="004504E1">
      <w:pPr>
        <w:pStyle w:val="Eivli"/>
        <w:ind w:left="720"/>
      </w:pPr>
      <w:r w:rsidRPr="00B50094">
        <w:t xml:space="preserve">Kokouskutsu/ asialista lähetetään </w:t>
      </w:r>
      <w:r w:rsidR="00FA2783" w:rsidRPr="00B50094">
        <w:t xml:space="preserve">sähköisesti </w:t>
      </w:r>
      <w:r w:rsidRPr="00B50094">
        <w:t>seitsemän vuorokautta ennen kokousta.</w:t>
      </w:r>
    </w:p>
    <w:p w:rsidR="004504E1" w:rsidRPr="00B50094" w:rsidRDefault="004504E1" w:rsidP="00723285">
      <w:pPr>
        <w:pStyle w:val="Eivli"/>
        <w:ind w:left="720"/>
      </w:pPr>
    </w:p>
    <w:p w:rsidR="004504E1" w:rsidRPr="00B50094" w:rsidRDefault="004504E1" w:rsidP="004504E1">
      <w:pPr>
        <w:pStyle w:val="Eivli"/>
        <w:ind w:left="720"/>
      </w:pPr>
      <w:r w:rsidRPr="00B50094">
        <w:t>Jokaisella jäsenellä on yksi ääni. Äänestystapa voidaan sopia kokouksessa</w:t>
      </w:r>
      <w:r w:rsidR="00B50094" w:rsidRPr="00B50094">
        <w:t xml:space="preserve">. </w:t>
      </w:r>
      <w:r w:rsidRPr="00B50094">
        <w:t xml:space="preserve"> Kokouksesta laaditun muistion oikeellisuuden varmistavat puheenjohtaja ja varapuheenjohtaja allekirjoituksellaan. </w:t>
      </w:r>
    </w:p>
    <w:p w:rsidR="004504E1" w:rsidRPr="00B50094" w:rsidRDefault="004504E1" w:rsidP="004504E1">
      <w:pPr>
        <w:pStyle w:val="Eivli"/>
        <w:ind w:left="720"/>
      </w:pPr>
    </w:p>
    <w:p w:rsidR="004504E1" w:rsidRDefault="004504E1" w:rsidP="004504E1">
      <w:pPr>
        <w:pStyle w:val="Eivli"/>
        <w:ind w:left="720"/>
      </w:pPr>
      <w:r w:rsidRPr="00B50094">
        <w:t>Kuntien ja kuntayhtymän edustajilla on läsnäolo- ja puheoikeus kokouksessa. Tarvittaessa myös muilla asiantuntijoilla on läsnäolo- ja puheoikeus.</w:t>
      </w:r>
    </w:p>
    <w:p w:rsidR="00345544" w:rsidRDefault="00345544" w:rsidP="004504E1">
      <w:pPr>
        <w:pStyle w:val="Eivli"/>
        <w:ind w:left="720"/>
      </w:pPr>
    </w:p>
    <w:p w:rsidR="00345544" w:rsidRPr="00B50094" w:rsidRDefault="00345544" w:rsidP="004504E1">
      <w:pPr>
        <w:pStyle w:val="Eivli"/>
        <w:ind w:left="720"/>
      </w:pPr>
    </w:p>
    <w:p w:rsidR="004504E1" w:rsidRPr="004504E1" w:rsidRDefault="004504E1" w:rsidP="004504E1">
      <w:pPr>
        <w:pStyle w:val="Eivli"/>
        <w:rPr>
          <w:b/>
          <w:color w:val="FF0000"/>
        </w:rPr>
      </w:pPr>
    </w:p>
    <w:p w:rsidR="004504E1" w:rsidRPr="00B50094" w:rsidRDefault="004504E1" w:rsidP="00CB79FB">
      <w:pPr>
        <w:pStyle w:val="Eivli"/>
        <w:numPr>
          <w:ilvl w:val="0"/>
          <w:numId w:val="1"/>
        </w:numPr>
        <w:rPr>
          <w:b/>
        </w:rPr>
      </w:pPr>
      <w:r w:rsidRPr="00B50094">
        <w:rPr>
          <w:b/>
        </w:rPr>
        <w:t>Esityslistan, liitteiden julkaisu ja pöytäkirjan julkaisu</w:t>
      </w:r>
    </w:p>
    <w:p w:rsidR="004504E1" w:rsidRPr="00B50094" w:rsidRDefault="004504E1" w:rsidP="004504E1">
      <w:pPr>
        <w:pStyle w:val="Eivli"/>
        <w:ind w:left="720"/>
      </w:pPr>
    </w:p>
    <w:p w:rsidR="00A2169F" w:rsidRPr="00B50094" w:rsidRDefault="004504E1" w:rsidP="00B50094">
      <w:pPr>
        <w:pStyle w:val="Eivli"/>
        <w:ind w:left="720"/>
      </w:pPr>
      <w:r w:rsidRPr="00B50094">
        <w:t>Kymenlaakso</w:t>
      </w:r>
      <w:r w:rsidR="00A2169F" w:rsidRPr="00B50094">
        <w:t xml:space="preserve">n järjestöjen neuvottelukunnan tarkistettu </w:t>
      </w:r>
      <w:r w:rsidRPr="00B50094">
        <w:t xml:space="preserve">pöytäkirja </w:t>
      </w:r>
      <w:r w:rsidR="00A2169F" w:rsidRPr="00B50094">
        <w:t xml:space="preserve">liitteineen </w:t>
      </w:r>
      <w:r w:rsidRPr="00B50094">
        <w:t>julkaistaan</w:t>
      </w:r>
      <w:r w:rsidR="00A2169F" w:rsidRPr="00B50094">
        <w:t xml:space="preserve"> Yhdistysinfo.fi –sivustolla. Neuvottelukunnan kokous-, ym. asiakirjat luovutetaan toimikauden</w:t>
      </w:r>
      <w:r w:rsidR="003174E9" w:rsidRPr="00B50094">
        <w:t>/ hallinnoijan vaihtuessa</w:t>
      </w:r>
      <w:r w:rsidR="00A2169F" w:rsidRPr="00B50094">
        <w:t xml:space="preserve"> Kouvolan kotiseutuarkistoon arkistoitavaksi. Kukin neuvottelukunnan hallinnollinen vastuutaho vastaa toimikautensa aikaisesta asiakirjojen säilytyksestä huomioiden asiakirjojen arkistointia koskeva ohjeistus. </w:t>
      </w:r>
    </w:p>
    <w:p w:rsidR="00A2169F" w:rsidRPr="00B50094" w:rsidRDefault="00A2169F" w:rsidP="00482E7A">
      <w:pPr>
        <w:pStyle w:val="Eivli"/>
        <w:ind w:left="720"/>
      </w:pPr>
    </w:p>
    <w:p w:rsidR="00330B2E" w:rsidRPr="00B50094" w:rsidRDefault="00330B2E" w:rsidP="00CB79FB">
      <w:pPr>
        <w:pStyle w:val="Eivli"/>
        <w:numPr>
          <w:ilvl w:val="0"/>
          <w:numId w:val="1"/>
        </w:numPr>
        <w:rPr>
          <w:b/>
        </w:rPr>
      </w:pPr>
      <w:r w:rsidRPr="00B50094">
        <w:rPr>
          <w:b/>
        </w:rPr>
        <w:t>Neuvottelukunnan viestintä</w:t>
      </w:r>
    </w:p>
    <w:p w:rsidR="00FA2783" w:rsidRPr="00B50094" w:rsidRDefault="00FA2783" w:rsidP="00FA2783">
      <w:pPr>
        <w:pStyle w:val="Eivli"/>
        <w:ind w:left="720"/>
        <w:rPr>
          <w:b/>
        </w:rPr>
      </w:pPr>
    </w:p>
    <w:p w:rsidR="00392CE8" w:rsidRPr="00B50094" w:rsidRDefault="00392CE8" w:rsidP="00FA2783">
      <w:pPr>
        <w:pStyle w:val="Eivli"/>
        <w:ind w:left="720"/>
      </w:pPr>
      <w:r w:rsidRPr="00B50094">
        <w:t xml:space="preserve">Neuvottelukunta nimeää keskuudestaan viestinnästä vastaavan henkilön sekä määrittelee viestinnässä käytettävät viestintäkanavat aloittaessaan toimintansa. </w:t>
      </w:r>
    </w:p>
    <w:p w:rsidR="00482E7A" w:rsidRDefault="00482E7A" w:rsidP="00FA2783">
      <w:pPr>
        <w:pStyle w:val="Eivli"/>
        <w:ind w:left="720"/>
        <w:rPr>
          <w:color w:val="FF0000"/>
        </w:rPr>
      </w:pPr>
    </w:p>
    <w:p w:rsidR="00392CE8" w:rsidRPr="00392CE8" w:rsidRDefault="00392CE8" w:rsidP="00A2169F">
      <w:pPr>
        <w:pStyle w:val="Eivli"/>
        <w:rPr>
          <w:color w:val="FF0000"/>
        </w:rPr>
      </w:pPr>
    </w:p>
    <w:p w:rsidR="00CE6154" w:rsidRDefault="00CE6154" w:rsidP="003174E9">
      <w:pPr>
        <w:pStyle w:val="Eivli"/>
        <w:ind w:left="720"/>
      </w:pPr>
    </w:p>
    <w:p w:rsidR="009F326B" w:rsidRDefault="009F326B" w:rsidP="004504E1">
      <w:pPr>
        <w:pStyle w:val="Eivli"/>
      </w:pPr>
    </w:p>
    <w:p w:rsidR="00C44804" w:rsidRPr="004012CE" w:rsidRDefault="00C44804" w:rsidP="00C44804">
      <w:pPr>
        <w:pStyle w:val="Eivli"/>
        <w:ind w:left="720"/>
      </w:pPr>
    </w:p>
    <w:sectPr w:rsidR="00C44804" w:rsidRPr="004012C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4A27" w:rsidRDefault="00B84A27" w:rsidP="00504685">
      <w:pPr>
        <w:spacing w:after="0" w:line="240" w:lineRule="auto"/>
      </w:pPr>
      <w:r>
        <w:separator/>
      </w:r>
    </w:p>
  </w:endnote>
  <w:endnote w:type="continuationSeparator" w:id="0">
    <w:p w:rsidR="00B84A27" w:rsidRDefault="00B84A27" w:rsidP="0050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4A27" w:rsidRDefault="00B84A27" w:rsidP="00504685">
      <w:pPr>
        <w:spacing w:after="0" w:line="240" w:lineRule="auto"/>
      </w:pPr>
      <w:r>
        <w:separator/>
      </w:r>
    </w:p>
  </w:footnote>
  <w:footnote w:type="continuationSeparator" w:id="0">
    <w:p w:rsidR="00B84A27" w:rsidRDefault="00B84A27" w:rsidP="0050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021910"/>
      <w:docPartObj>
        <w:docPartGallery w:val="Page Numbers (Top of Page)"/>
        <w:docPartUnique/>
      </w:docPartObj>
    </w:sdtPr>
    <w:sdtEndPr/>
    <w:sdtContent>
      <w:p w:rsidR="00504685" w:rsidRDefault="00504685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67">
          <w:rPr>
            <w:noProof/>
          </w:rPr>
          <w:t>2</w:t>
        </w:r>
        <w:r>
          <w:fldChar w:fldCharType="end"/>
        </w:r>
      </w:p>
    </w:sdtContent>
  </w:sdt>
  <w:p w:rsidR="00504685" w:rsidRDefault="005046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232"/>
    <w:multiLevelType w:val="hybridMultilevel"/>
    <w:tmpl w:val="C782462E"/>
    <w:lvl w:ilvl="0" w:tplc="B1E402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504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82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564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7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CE1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21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C6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3AF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842DC"/>
    <w:multiLevelType w:val="hybridMultilevel"/>
    <w:tmpl w:val="3BDE1D38"/>
    <w:lvl w:ilvl="0" w:tplc="EB8CE2A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63A2A"/>
    <w:multiLevelType w:val="hybridMultilevel"/>
    <w:tmpl w:val="23C223F2"/>
    <w:lvl w:ilvl="0" w:tplc="81E6DA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CA3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8D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2A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CA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C00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66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49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C40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D5645"/>
    <w:multiLevelType w:val="hybridMultilevel"/>
    <w:tmpl w:val="9C141C2C"/>
    <w:lvl w:ilvl="0" w:tplc="0A8297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6E274A"/>
    <w:multiLevelType w:val="hybridMultilevel"/>
    <w:tmpl w:val="D7E2A186"/>
    <w:lvl w:ilvl="0" w:tplc="3294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C42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CE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C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84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E4AA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F82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9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60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6F2A83"/>
    <w:multiLevelType w:val="hybridMultilevel"/>
    <w:tmpl w:val="18026A0C"/>
    <w:lvl w:ilvl="0" w:tplc="B7E8BB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E96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E3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22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26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81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263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CA5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E5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B12B8"/>
    <w:multiLevelType w:val="hybridMultilevel"/>
    <w:tmpl w:val="8C88B0BC"/>
    <w:lvl w:ilvl="0" w:tplc="D2CA40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901B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684A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65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C7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46AD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9C5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45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F00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647285"/>
    <w:multiLevelType w:val="hybridMultilevel"/>
    <w:tmpl w:val="16A0602C"/>
    <w:lvl w:ilvl="0" w:tplc="0872694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225448"/>
    <w:multiLevelType w:val="hybridMultilevel"/>
    <w:tmpl w:val="5D4EEB5E"/>
    <w:lvl w:ilvl="0" w:tplc="50A68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A768F"/>
    <w:multiLevelType w:val="hybridMultilevel"/>
    <w:tmpl w:val="3BBE36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983929">
    <w:abstractNumId w:val="9"/>
  </w:num>
  <w:num w:numId="2" w16cid:durableId="1439789924">
    <w:abstractNumId w:val="3"/>
  </w:num>
  <w:num w:numId="3" w16cid:durableId="1258447213">
    <w:abstractNumId w:val="8"/>
  </w:num>
  <w:num w:numId="4" w16cid:durableId="1564296721">
    <w:abstractNumId w:val="4"/>
  </w:num>
  <w:num w:numId="5" w16cid:durableId="1732001498">
    <w:abstractNumId w:val="6"/>
  </w:num>
  <w:num w:numId="6" w16cid:durableId="353851342">
    <w:abstractNumId w:val="0"/>
  </w:num>
  <w:num w:numId="7" w16cid:durableId="1441298653">
    <w:abstractNumId w:val="5"/>
  </w:num>
  <w:num w:numId="8" w16cid:durableId="1579363880">
    <w:abstractNumId w:val="2"/>
  </w:num>
  <w:num w:numId="9" w16cid:durableId="252324001">
    <w:abstractNumId w:val="7"/>
  </w:num>
  <w:num w:numId="10" w16cid:durableId="220095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D6"/>
    <w:rsid w:val="000A12F6"/>
    <w:rsid w:val="000A31DF"/>
    <w:rsid w:val="000F5D97"/>
    <w:rsid w:val="0012082D"/>
    <w:rsid w:val="00170883"/>
    <w:rsid w:val="0020031A"/>
    <w:rsid w:val="00205502"/>
    <w:rsid w:val="00222DEA"/>
    <w:rsid w:val="002342F1"/>
    <w:rsid w:val="0025044E"/>
    <w:rsid w:val="00293618"/>
    <w:rsid w:val="002A6FC8"/>
    <w:rsid w:val="002C5452"/>
    <w:rsid w:val="002E3B00"/>
    <w:rsid w:val="003174E9"/>
    <w:rsid w:val="00330B2E"/>
    <w:rsid w:val="00345544"/>
    <w:rsid w:val="00356877"/>
    <w:rsid w:val="00392CE8"/>
    <w:rsid w:val="003D72B3"/>
    <w:rsid w:val="003D7B44"/>
    <w:rsid w:val="004012CE"/>
    <w:rsid w:val="004504E1"/>
    <w:rsid w:val="00472104"/>
    <w:rsid w:val="00482E7A"/>
    <w:rsid w:val="004B20B1"/>
    <w:rsid w:val="00504685"/>
    <w:rsid w:val="00512299"/>
    <w:rsid w:val="00560AF6"/>
    <w:rsid w:val="005F5884"/>
    <w:rsid w:val="00687EFF"/>
    <w:rsid w:val="00695F59"/>
    <w:rsid w:val="006F1942"/>
    <w:rsid w:val="00723285"/>
    <w:rsid w:val="00790769"/>
    <w:rsid w:val="007B3E1F"/>
    <w:rsid w:val="007E1465"/>
    <w:rsid w:val="0088434C"/>
    <w:rsid w:val="008A54F9"/>
    <w:rsid w:val="009B1858"/>
    <w:rsid w:val="009D389C"/>
    <w:rsid w:val="009F326B"/>
    <w:rsid w:val="00A2169F"/>
    <w:rsid w:val="00A26267"/>
    <w:rsid w:val="00A43199"/>
    <w:rsid w:val="00A55031"/>
    <w:rsid w:val="00B22316"/>
    <w:rsid w:val="00B50094"/>
    <w:rsid w:val="00B7540F"/>
    <w:rsid w:val="00B80DAB"/>
    <w:rsid w:val="00B84A27"/>
    <w:rsid w:val="00C44804"/>
    <w:rsid w:val="00C51AA1"/>
    <w:rsid w:val="00C57E58"/>
    <w:rsid w:val="00C631D3"/>
    <w:rsid w:val="00C944C8"/>
    <w:rsid w:val="00CB79FB"/>
    <w:rsid w:val="00CE26D6"/>
    <w:rsid w:val="00CE6154"/>
    <w:rsid w:val="00D408A2"/>
    <w:rsid w:val="00D432C9"/>
    <w:rsid w:val="00D84AFA"/>
    <w:rsid w:val="00E04AEF"/>
    <w:rsid w:val="00E25290"/>
    <w:rsid w:val="00EC1E1D"/>
    <w:rsid w:val="00EC6F62"/>
    <w:rsid w:val="00ED67BF"/>
    <w:rsid w:val="00EF6392"/>
    <w:rsid w:val="00F37FFC"/>
    <w:rsid w:val="00FA2783"/>
    <w:rsid w:val="00FA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E5DBD-C155-45C9-B430-E104BDAF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E26D6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330B2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0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4685"/>
  </w:style>
  <w:style w:type="paragraph" w:styleId="Alatunniste">
    <w:name w:val="footer"/>
    <w:basedOn w:val="Normaali"/>
    <w:link w:val="AlatunnisteChar"/>
    <w:uiPriority w:val="99"/>
    <w:unhideWhenUsed/>
    <w:rsid w:val="00504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4685"/>
  </w:style>
  <w:style w:type="paragraph" w:styleId="Seliteteksti">
    <w:name w:val="Balloon Text"/>
    <w:basedOn w:val="Normaali"/>
    <w:link w:val="SelitetekstiChar"/>
    <w:uiPriority w:val="99"/>
    <w:semiHidden/>
    <w:unhideWhenUsed/>
    <w:rsid w:val="00FA4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495D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2C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arja.kumpu@gmail.com</dc:creator>
  <cp:lastModifiedBy>Joonas Kuusisto</cp:lastModifiedBy>
  <cp:revision>2</cp:revision>
  <cp:lastPrinted>2022-02-01T12:14:00Z</cp:lastPrinted>
  <dcterms:created xsi:type="dcterms:W3CDTF">2022-05-04T05:53:00Z</dcterms:created>
  <dcterms:modified xsi:type="dcterms:W3CDTF">2022-05-04T05:53:00Z</dcterms:modified>
</cp:coreProperties>
</file>